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37" w:type="dxa"/>
        <w:tblInd w:w="-72" w:type="dxa"/>
        <w:tblBorders>
          <w:bottom w:val="doub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1631"/>
        <w:gridCol w:w="4253"/>
      </w:tblGrid>
      <w:tr>
        <w:trPr>
          <w:trHeight w:val="2085"/>
        </w:trPr>
        <w:tc>
          <w:tcPr>
            <w:tcW w:w="425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АЛЕКСЕЕВСКИЙ </w:t>
            </w: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РАЙОННЫЙ СОВЕТ</w:t>
            </w: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АЛЕКСЕЕВСКОГО </w:t>
            </w: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РАЙОНА</w:t>
            </w: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РЕСПУБЛИКИ ТАТАРСТАН</w:t>
            </w:r>
          </w:p>
          <w:p>
            <w:pPr>
              <w:pStyle w:val="afc"/>
              <w:rPr>
                <w:rFonts w:ascii="Times New Roman" w:hAnsi="Times New Roman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>
            <w:pPr>
              <w:ind w:right="-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723900" cy="790575"/>
                  <wp:effectExtent l="0" t="0" r="0" b="9525"/>
                  <wp:docPr id="2" name="Рисунок 2" descr="герб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герб4"/>
                          <pic:cNvPicPr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lum bright="-6000" contrast="2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ТАТАРСТАН РЕСПУБЛИКАСЫ</w:t>
            </w: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АЛЕКСЕЕВСК</w:t>
            </w: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МУНИЦИПАЛЬ РАЙОНЫНЫҢ</w:t>
            </w: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АЛЕКСЕЕВСК</w:t>
            </w:r>
          </w:p>
          <w:p>
            <w:pPr>
              <w:jc w:val="center"/>
              <w:rPr>
                <w:rFonts w:ascii="Times New Roman" w:hAnsi="Times New Roman"/>
                <w:sz w:val="1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 СОВЕТЫ</w:t>
            </w:r>
          </w:p>
        </w:tc>
      </w:tr>
      <w:tr>
        <w:trPr>
          <w:trHeight w:val="1092"/>
        </w:trPr>
        <w:tc>
          <w:tcPr>
            <w:tcW w:w="425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РЕШЕНИЕ</w:t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14.04.2026</w:t>
            </w:r>
            <w:bookmarkStart w:id="0" w:name="_GoBack"/>
            <w:bookmarkEnd w:id="0"/>
          </w:p>
        </w:tc>
        <w:tc>
          <w:tcPr>
            <w:tcW w:w="163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/>
                <w:lang w:val="tt-RU"/>
              </w:rPr>
            </w:pPr>
          </w:p>
          <w:p>
            <w:pPr>
              <w:jc w:val="center"/>
              <w:rPr>
                <w:rFonts w:ascii="Times New Roman" w:hAnsi="Times New Roman"/>
                <w:lang w:val="tt-RU"/>
              </w:rPr>
            </w:pPr>
          </w:p>
          <w:p>
            <w:pPr>
              <w:jc w:val="center"/>
              <w:rPr>
                <w:rFonts w:ascii="Times New Roman" w:hAnsi="Times New Roman"/>
                <w:sz w:val="12"/>
                <w:szCs w:val="12"/>
                <w:lang w:val="tt-RU"/>
              </w:rPr>
            </w:pPr>
          </w:p>
          <w:p>
            <w:pPr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п</w:t>
            </w:r>
            <w:r>
              <w:rPr>
                <w:rFonts w:ascii="Times New Roman" w:hAnsi="Times New Roman"/>
                <w:sz w:val="18"/>
                <w:szCs w:val="18"/>
              </w:rPr>
              <w:t>.г.т. Алексеевское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</w:t>
            </w:r>
          </w:p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>
            <w:pPr>
              <w:pStyle w:val="2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ru-RU"/>
              </w:rPr>
              <w:t xml:space="preserve">                       КАРАР</w:t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</w:tbl>
    <w:p>
      <w:pPr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О внесении изменений в решение </w:t>
      </w:r>
    </w:p>
    <w:p>
      <w:pPr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Совета Алексеевского муниципального района </w:t>
      </w:r>
    </w:p>
    <w:p>
      <w:pPr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Республики Татарстан от 15.11.2021 года № 72</w:t>
      </w:r>
    </w:p>
    <w:p>
      <w:pPr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«О муниципальном жилищном </w:t>
      </w:r>
    </w:p>
    <w:p>
      <w:pPr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контроле на территории Алексеевского</w:t>
      </w:r>
    </w:p>
    <w:p>
      <w:pPr>
        <w:outlineLvl w:val="0"/>
        <w:rPr>
          <w:rFonts w:ascii="Times New Roman" w:hAnsi="Times New Roman"/>
          <w:b/>
          <w:color w:val="000000" w:themeColor="text1"/>
          <w:sz w:val="28"/>
          <w:szCs w:val="28"/>
          <w:lang w:val="x-none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муниципального района Республики Татарстан» </w:t>
      </w:r>
    </w:p>
    <w:p>
      <w:pPr>
        <w:jc w:val="both"/>
        <w:outlineLvl w:val="0"/>
        <w:rPr>
          <w:rFonts w:ascii="Times New Roman" w:hAnsi="Times New Roman"/>
          <w:color w:val="000000" w:themeColor="text1"/>
        </w:rPr>
      </w:pPr>
    </w:p>
    <w:p>
      <w:pPr>
        <w:pStyle w:val="1"/>
        <w:shd w:val="clear" w:color="auto" w:fill="FFFFFF"/>
        <w:spacing w:before="161" w:after="161" w:line="240" w:lineRule="auto"/>
        <w:ind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 xml:space="preserve">Рассмотрев </w:t>
      </w:r>
      <w:r>
        <w:rPr>
          <w:rFonts w:ascii="Times New Roman" w:hAnsi="Times New Roman"/>
          <w:b w:val="0"/>
          <w:sz w:val="28"/>
          <w:szCs w:val="28"/>
        </w:rPr>
        <w:t xml:space="preserve">протест прокуратуры Алексеевского района от 09.03.2026 года </w:t>
      </w:r>
      <w:r>
        <w:rPr>
          <w:rFonts w:ascii="Times New Roman" w:hAnsi="Times New Roman"/>
          <w:b w:val="0"/>
          <w:sz w:val="28"/>
          <w:szCs w:val="28"/>
          <w:lang w:val="ru-RU"/>
        </w:rPr>
        <w:t xml:space="preserve">                    </w:t>
      </w:r>
      <w:r>
        <w:rPr>
          <w:rFonts w:ascii="Times New Roman" w:hAnsi="Times New Roman"/>
          <w:b w:val="0"/>
          <w:sz w:val="28"/>
          <w:szCs w:val="28"/>
        </w:rPr>
        <w:t xml:space="preserve">№ 02-08-01/26 в целях приведения в соответствие </w:t>
      </w:r>
      <w:r>
        <w:rPr>
          <w:rFonts w:ascii="Times New Roman" w:hAnsi="Times New Roman"/>
          <w:b w:val="0"/>
          <w:sz w:val="28"/>
          <w:szCs w:val="28"/>
          <w:lang w:val="ru-RU"/>
        </w:rPr>
        <w:t>с</w:t>
      </w:r>
      <w:r>
        <w:rPr>
          <w:rFonts w:ascii="Times New Roman" w:hAnsi="Times New Roman"/>
          <w:b w:val="0"/>
          <w:sz w:val="28"/>
          <w:szCs w:val="28"/>
        </w:rPr>
        <w:t xml:space="preserve"> Федеральным </w:t>
      </w:r>
      <w:r>
        <w:rPr>
          <w:rFonts w:ascii="Times New Roman" w:hAnsi="Times New Roman"/>
          <w:b w:val="0"/>
          <w:sz w:val="28"/>
          <w:szCs w:val="28"/>
          <w:lang w:val="ru-RU"/>
        </w:rPr>
        <w:t xml:space="preserve">законом                                </w:t>
      </w:r>
      <w:r>
        <w:rPr>
          <w:rFonts w:ascii="Times New Roman" w:hAnsi="Times New Roman"/>
          <w:b w:val="0"/>
          <w:sz w:val="28"/>
          <w:szCs w:val="28"/>
        </w:rPr>
        <w:t xml:space="preserve">от 31 июля 2020 года № 248-ФЗ «О государственном контроле (надзоре) и муниципальном контроле в Российской Федерации» </w:t>
      </w:r>
    </w:p>
    <w:p>
      <w:pPr>
        <w:ind w:firstLine="680"/>
        <w:jc w:val="both"/>
        <w:rPr>
          <w:rFonts w:ascii="Times New Roman" w:hAnsi="Times New Roman"/>
          <w:b/>
          <w:sz w:val="28"/>
          <w:szCs w:val="28"/>
          <w:lang w:val="x-none"/>
        </w:rPr>
      </w:pPr>
    </w:p>
    <w:p>
      <w:pPr>
        <w:spacing w:line="276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Алексеевского муниципального района решил:</w:t>
      </w:r>
    </w:p>
    <w:p>
      <w:pPr>
        <w:ind w:firstLine="680"/>
        <w:jc w:val="both"/>
        <w:rPr>
          <w:rFonts w:ascii="Times New Roman" w:hAnsi="Times New Roman"/>
          <w:color w:val="000000" w:themeColor="text1"/>
          <w:sz w:val="24"/>
          <w:szCs w:val="24"/>
          <w:lang w:eastAsia="zh-CN"/>
        </w:rPr>
      </w:pPr>
    </w:p>
    <w:p>
      <w:pPr>
        <w:pStyle w:val="ConsPlusNormal"/>
        <w:numPr>
          <w:ilvl w:val="0"/>
          <w:numId w:val="21"/>
        </w:numPr>
        <w:tabs>
          <w:tab w:val="left" w:pos="426"/>
          <w:tab w:val="left" w:pos="993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Положение о муниципальном жилищном контроле на территории Алексеевского муниципального района Республики Татарстан, утвержденное решением Совета Алексеевского муниципального района Республики Татарстан от 15 ноября 2021 года № 72 «О муниципальном жилищном контроле на территории Алексеевского муниципального района Республики Татарстан», </w:t>
      </w:r>
      <w:r>
        <w:rPr>
          <w:sz w:val="28"/>
          <w:szCs w:val="28"/>
        </w:rPr>
        <w:t xml:space="preserve">внести изменения следующего содержания: </w:t>
      </w:r>
    </w:p>
    <w:p>
      <w:pPr>
        <w:pStyle w:val="ConsPlusNormal"/>
        <w:tabs>
          <w:tab w:val="left" w:pos="426"/>
          <w:tab w:val="left" w:pos="993"/>
        </w:tabs>
        <w:autoSpaceDE w:val="0"/>
        <w:autoSpaceDN w:val="0"/>
        <w:ind w:left="709" w:firstLine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пункт 1.2. изложить в следующей редакции:</w:t>
      </w:r>
    </w:p>
    <w:p>
      <w:pPr>
        <w:pStyle w:val="ConsPlusNormal"/>
        <w:tabs>
          <w:tab w:val="left" w:pos="426"/>
          <w:tab w:val="left" w:pos="993"/>
        </w:tabs>
        <w:autoSpaceDE w:val="0"/>
        <w:autoSpaceDN w:val="0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«1.2. </w:t>
      </w:r>
      <w:r>
        <w:rPr>
          <w:sz w:val="28"/>
          <w:szCs w:val="28"/>
        </w:rPr>
        <w:t>Предметом муниципального жилищного контроля является соблюдение юридическими лицами, индивидуальными предпринимателями и гражданами (далее- Контролируемые лица)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эффективности, законодательством о газоснабжении в Российской Федерации в отношении жилищного фонда независимо от его формы собственности:</w:t>
      </w:r>
    </w:p>
    <w:p>
      <w:pPr>
        <w:pStyle w:val="formattext"/>
        <w:numPr>
          <w:ilvl w:val="0"/>
          <w:numId w:val="22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требований к использованию и сохранности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</w:p>
    <w:p>
      <w:pPr>
        <w:pStyle w:val="formattext"/>
        <w:numPr>
          <w:ilvl w:val="0"/>
          <w:numId w:val="22"/>
        </w:numPr>
        <w:spacing w:before="0" w:beforeAutospacing="0" w:after="0" w:afterAutospacing="0"/>
        <w:jc w:val="both"/>
        <w:rPr>
          <w:sz w:val="28"/>
          <w:szCs w:val="28"/>
        </w:rPr>
      </w:pPr>
      <w:bookmarkStart w:id="1" w:name="P023A"/>
      <w:bookmarkEnd w:id="1"/>
      <w:r>
        <w:rPr>
          <w:sz w:val="28"/>
          <w:szCs w:val="28"/>
        </w:rPr>
        <w:t>требований к формированию фондов капитального ремонта;</w:t>
      </w:r>
    </w:p>
    <w:p>
      <w:pPr>
        <w:pStyle w:val="formattext"/>
        <w:numPr>
          <w:ilvl w:val="0"/>
          <w:numId w:val="22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bookmarkStart w:id="2" w:name="P023C"/>
      <w:bookmarkEnd w:id="2"/>
      <w:r>
        <w:rPr>
          <w:sz w:val="28"/>
          <w:szCs w:val="28"/>
        </w:rPr>
        <w:t xml:space="preserve">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  <w:bookmarkStart w:id="3" w:name="P023E"/>
      <w:bookmarkEnd w:id="3"/>
    </w:p>
    <w:p>
      <w:pPr>
        <w:pStyle w:val="formattext"/>
        <w:numPr>
          <w:ilvl w:val="0"/>
          <w:numId w:val="22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требований к предоставлению коммунальных услуг собственникам и пользователям помещений в многоквартирных домах и жилых домов;</w:t>
      </w:r>
    </w:p>
    <w:p>
      <w:pPr>
        <w:pStyle w:val="formattext"/>
        <w:numPr>
          <w:ilvl w:val="0"/>
          <w:numId w:val="2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bookmarkStart w:id="4" w:name="P0240"/>
      <w:bookmarkEnd w:id="4"/>
      <w:r>
        <w:rPr>
          <w:sz w:val="28"/>
          <w:szCs w:val="28"/>
        </w:rPr>
        <w:t>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  <w:bookmarkStart w:id="5" w:name="P0242"/>
      <w:bookmarkEnd w:id="5"/>
    </w:p>
    <w:p>
      <w:pPr>
        <w:pStyle w:val="formattext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6) правил содержания общего имущества в многоквартирном доме и правил изменения размера платы за содержание жилого помещения;</w:t>
      </w:r>
    </w:p>
    <w:p>
      <w:pPr>
        <w:pStyle w:val="formattext"/>
        <w:spacing w:before="0" w:beforeAutospacing="0" w:after="0" w:afterAutospacing="0"/>
        <w:ind w:firstLine="709"/>
        <w:rPr>
          <w:sz w:val="28"/>
          <w:szCs w:val="28"/>
        </w:rPr>
      </w:pPr>
      <w:bookmarkStart w:id="6" w:name="P0244"/>
      <w:bookmarkEnd w:id="6"/>
      <w:r>
        <w:rPr>
          <w:sz w:val="28"/>
          <w:szCs w:val="28"/>
        </w:rPr>
        <w:t>7)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  <w:bookmarkStart w:id="7" w:name="P0246"/>
      <w:bookmarkEnd w:id="7"/>
    </w:p>
    <w:p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 </w:t>
      </w:r>
      <w:bookmarkStart w:id="8" w:name="P024A"/>
      <w:bookmarkEnd w:id="8"/>
      <w:r>
        <w:rPr>
          <w:sz w:val="28"/>
          <w:szCs w:val="28"/>
        </w:rPr>
        <w:t>требований к порядку размещения информации в системе жилищно-коммунального хозяйства ресурсоснабжающими организациями, лицами, осуществляющими деятельность по управлению многоквартирными домами, региональными операторами, застройщиками, лицами, с которыми собственниками помещений в многоквартирном доме, осуществляющими непосредственное управление многоквартирным домом, заключены договоры оказания услуг по содержанию и (или) выполнению работ по ремонту общего имущества в многоквартирном доме, лицами, наделенными такими собственниками помещений в многоквартирном доме правом размещения информации в системе жилищно-коммунального хозяйства;</w:t>
      </w:r>
    </w:p>
    <w:p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10) требований к обеспечению доступности для инвалидов помещений в многоквартирных домах;</w:t>
      </w:r>
      <w:bookmarkStart w:id="9" w:name="P024C"/>
      <w:bookmarkEnd w:id="9"/>
    </w:p>
    <w:p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11) требований к предоставлению жилых помещений в наемных домах социального использования;</w:t>
      </w:r>
      <w:bookmarkStart w:id="10" w:name="P024E"/>
      <w:bookmarkEnd w:id="10"/>
    </w:p>
    <w:p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12) требований к безопасной эксплуатации и техническому обслуживанию внутридомового и (или) внутриквартирного газового оборудования, а также требований к содержанию относящихся к общему имуществу в многоквартирном доме вентиляционных и дымовых каналов.»;</w:t>
      </w:r>
    </w:p>
    <w:p>
      <w:pPr>
        <w:spacing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пункт 3.3.5. изложить в следующей редакции:</w:t>
      </w:r>
    </w:p>
    <w:p>
      <w:pPr>
        <w:spacing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«3.3.5. Возражения в Контрольный орган направляются контролируемым лицом в бумажном виде почтовым отправлением либо в виде электронного документа, подписанного простой электронной подписью или усиленной электронной подписью, в случаях установленных Федеральным законом № 248-ФЗ, на указанный в предостережении адрес электронной почты Контрольного органа либо посредством единого портала государственных и муниципальных услуг или портала государственных и муниципальных услуг Республики Татарстан.»;</w:t>
      </w:r>
    </w:p>
    <w:p>
      <w:pPr>
        <w:spacing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подпункт 3 пункта 3.5.2. изложить в следующей редакции:</w:t>
      </w:r>
    </w:p>
    <w:p>
      <w:pPr>
        <w:spacing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«3) обязательный профилактический визит не предусматривает отказ контролируемого лица от его проведения. О проведении обязательного профилактического визита контролируемое лицо уведомляется не позднее чем за двадцать четыре часа до его начала в порядке, предусмотренном частью 5 статьи 21 Федерального закона от 31 июля 2020 года № 248-ФЗ.»;</w:t>
      </w:r>
    </w:p>
    <w:p>
      <w:pPr>
        <w:spacing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подпункт 4 пункта 3.5.3 дополнить абзацем следующего содержания:</w:t>
      </w:r>
    </w:p>
    <w:p>
      <w:pPr>
        <w:spacing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«11) контролируемое лицо не соответствует критериям, предусмотренным подпунктом 1 пункта 3.5.3. настоящего Положения.»;</w:t>
      </w:r>
    </w:p>
    <w:p>
      <w:pPr>
        <w:spacing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пункт 4.1.4. изложить в следующей редакции: </w:t>
      </w:r>
    </w:p>
    <w:p>
      <w:pPr>
        <w:spacing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«4.1.4. Плановые и внеплановые контрольные мероприятия, за исключением проводимых без взаимодействия с контролируемыми лицами, проводятся путем совершения инспектором и лицами, привлекаемыми к проведению контрольного мероприятия, следующих контрольных действий: </w:t>
      </w:r>
    </w:p>
    <w:p>
      <w:pPr>
        <w:spacing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осмотр;</w:t>
      </w:r>
    </w:p>
    <w:p>
      <w:pPr>
        <w:spacing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досмотр;</w:t>
      </w:r>
    </w:p>
    <w:p>
      <w:pPr>
        <w:spacing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опрос;</w:t>
      </w:r>
    </w:p>
    <w:p>
      <w:pPr>
        <w:spacing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получение письменных объяснений;</w:t>
      </w:r>
    </w:p>
    <w:p>
      <w:pPr>
        <w:spacing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истребование документов;</w:t>
      </w:r>
    </w:p>
    <w:p>
      <w:pPr>
        <w:spacing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отбор проб (образцов);</w:t>
      </w:r>
    </w:p>
    <w:p>
      <w:pPr>
        <w:spacing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инструментальное обследование;</w:t>
      </w:r>
    </w:p>
    <w:p>
      <w:pPr>
        <w:spacing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 испытание;</w:t>
      </w:r>
    </w:p>
    <w:p>
      <w:pPr>
        <w:spacing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9) экспертиза;</w:t>
      </w:r>
    </w:p>
    <w:p>
      <w:pPr>
        <w:spacing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10) эксперимент.».</w:t>
      </w:r>
    </w:p>
    <w:p>
      <w:pPr>
        <w:spacing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Опубликовать настоящее решение на официальном сайте Алексеевского муниципального района Республики Татарстан в Информационно-телекоммуникационной сети Интернет http://alekseevskiy.tatarstan.ru и официальном портале правовой информации Республики Татарстан.</w:t>
      </w:r>
    </w:p>
    <w:p>
      <w:pPr>
        <w:spacing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Контроль за исполнением настоящего решения возложить на постоянную комиссию Совета Алексеевского муниципального района по бюджетно-финансовым вопросам и экономическому развитию (Сафина Г.Т.).</w:t>
      </w:r>
    </w:p>
    <w:p>
      <w:pPr>
        <w:spacing w:line="259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>
      <w:pPr>
        <w:spacing w:line="259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>
      <w:pPr>
        <w:pStyle w:val="ConsPlusNormal"/>
        <w:ind w:firstLine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Глава муниципального района,                                                                          </w:t>
      </w:r>
    </w:p>
    <w:p>
      <w:pPr>
        <w:pStyle w:val="ConsPlusNormal"/>
        <w:ind w:firstLine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председатель Совета                                                                                   С.А. Демидов</w:t>
      </w:r>
    </w:p>
    <w:p>
      <w:pPr>
        <w:ind w:left="4956"/>
        <w:rPr>
          <w:rFonts w:ascii="Times New Roman" w:hAnsi="Times New Roman"/>
          <w:sz w:val="28"/>
          <w:szCs w:val="28"/>
        </w:rPr>
      </w:pPr>
      <w:bookmarkStart w:id="11" w:name="Par35"/>
      <w:bookmarkEnd w:id="11"/>
    </w:p>
    <w:p>
      <w:pPr>
        <w:ind w:left="4956"/>
        <w:rPr>
          <w:rFonts w:ascii="Times New Roman" w:hAnsi="Times New Roman"/>
          <w:sz w:val="28"/>
          <w:szCs w:val="28"/>
        </w:rPr>
      </w:pPr>
    </w:p>
    <w:p>
      <w:pPr>
        <w:ind w:left="4956"/>
        <w:rPr>
          <w:rFonts w:ascii="Times New Roman" w:hAnsi="Times New Roman"/>
          <w:sz w:val="28"/>
          <w:szCs w:val="28"/>
        </w:rPr>
      </w:pPr>
    </w:p>
    <w:p>
      <w:pPr>
        <w:ind w:left="4956"/>
        <w:rPr>
          <w:rFonts w:ascii="Times New Roman" w:hAnsi="Times New Roman"/>
          <w:sz w:val="28"/>
          <w:szCs w:val="28"/>
        </w:rPr>
      </w:pPr>
    </w:p>
    <w:p>
      <w:pPr>
        <w:ind w:left="4956"/>
        <w:rPr>
          <w:rFonts w:ascii="Times New Roman" w:hAnsi="Times New Roman"/>
          <w:sz w:val="28"/>
          <w:szCs w:val="28"/>
        </w:rPr>
      </w:pPr>
    </w:p>
    <w:p>
      <w:pPr>
        <w:ind w:left="4956"/>
        <w:rPr>
          <w:rFonts w:ascii="Times New Roman" w:hAnsi="Times New Roman"/>
          <w:sz w:val="28"/>
          <w:szCs w:val="28"/>
        </w:rPr>
      </w:pPr>
    </w:p>
    <w:p>
      <w:pPr>
        <w:ind w:left="4956"/>
        <w:rPr>
          <w:rFonts w:ascii="Times New Roman" w:hAnsi="Times New Roman"/>
          <w:sz w:val="28"/>
          <w:szCs w:val="28"/>
        </w:rPr>
      </w:pPr>
    </w:p>
    <w:p>
      <w:pPr>
        <w:rPr>
          <w:rFonts w:ascii="Times New Roman" w:hAnsi="Times New Roman"/>
          <w:sz w:val="28"/>
          <w:szCs w:val="28"/>
        </w:rPr>
      </w:pPr>
    </w:p>
    <w:p>
      <w:pPr>
        <w:pStyle w:val="ConsPlusTitle"/>
        <w:tabs>
          <w:tab w:val="left" w:pos="993"/>
        </w:tabs>
        <w:jc w:val="both"/>
        <w:rPr>
          <w:b w:val="0"/>
          <w:sz w:val="28"/>
          <w:szCs w:val="28"/>
        </w:rPr>
      </w:pPr>
      <w:r>
        <w:rPr>
          <w:sz w:val="28"/>
          <w:lang w:eastAsia="x-none"/>
        </w:rPr>
        <w:tab/>
      </w:r>
    </w:p>
    <w:sectPr>
      <w:pgSz w:w="11906" w:h="16838"/>
      <w:pgMar w:top="567" w:right="566" w:bottom="567" w:left="1134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2DF66BF"/>
    <w:multiLevelType w:val="hybridMultilevel"/>
    <w:tmpl w:val="013810EC"/>
    <w:lvl w:ilvl="0" w:tplc="3E00EEE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BB0565"/>
    <w:multiLevelType w:val="hybridMultilevel"/>
    <w:tmpl w:val="969085CA"/>
    <w:lvl w:ilvl="0" w:tplc="A1FA7E88">
      <w:start w:val="1"/>
      <w:numFmt w:val="decimal"/>
      <w:lvlText w:val="%1)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DF2386B"/>
    <w:multiLevelType w:val="hybridMultilevel"/>
    <w:tmpl w:val="75969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44519"/>
    <w:multiLevelType w:val="multilevel"/>
    <w:tmpl w:val="231EB7EA"/>
    <w:lvl w:ilvl="0">
      <w:start w:val="3"/>
      <w:numFmt w:val="upperRoman"/>
      <w:lvlText w:val="%1."/>
      <w:lvlJc w:val="left"/>
      <w:pPr>
        <w:ind w:left="2160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5" w15:restartNumberingAfterBreak="0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1B7A4770"/>
    <w:multiLevelType w:val="hybridMultilevel"/>
    <w:tmpl w:val="C6764878"/>
    <w:lvl w:ilvl="0" w:tplc="11F400BE">
      <w:start w:val="1"/>
      <w:numFmt w:val="decimal"/>
      <w:lvlText w:val="%1."/>
      <w:lvlJc w:val="left"/>
      <w:pPr>
        <w:ind w:left="1174" w:hanging="465"/>
      </w:pPr>
      <w:rPr>
        <w:rFonts w:eastAsia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17A0E9A"/>
    <w:multiLevelType w:val="hybridMultilevel"/>
    <w:tmpl w:val="6EEA6534"/>
    <w:lvl w:ilvl="0" w:tplc="A27AC1DA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4700F9E"/>
    <w:multiLevelType w:val="hybridMultilevel"/>
    <w:tmpl w:val="D58AA17C"/>
    <w:lvl w:ilvl="0" w:tplc="89424650">
      <w:start w:val="1"/>
      <w:numFmt w:val="decimal"/>
      <w:suff w:val="space"/>
      <w:lvlText w:val="%1)"/>
      <w:lvlJc w:val="left"/>
      <w:pPr>
        <w:ind w:left="1405" w:hanging="55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DFE24E3"/>
    <w:multiLevelType w:val="hybridMultilevel"/>
    <w:tmpl w:val="6D062264"/>
    <w:lvl w:ilvl="0" w:tplc="7E286B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BCB09C5"/>
    <w:multiLevelType w:val="hybridMultilevel"/>
    <w:tmpl w:val="F06CE0C2"/>
    <w:lvl w:ilvl="0" w:tplc="0368EB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4825F8"/>
    <w:multiLevelType w:val="hybridMultilevel"/>
    <w:tmpl w:val="2B12BB24"/>
    <w:lvl w:ilvl="0" w:tplc="319EF11A">
      <w:start w:val="1"/>
      <w:numFmt w:val="decimal"/>
      <w:lvlText w:val="%1."/>
      <w:lvlJc w:val="left"/>
      <w:pPr>
        <w:ind w:left="435" w:hanging="360"/>
      </w:pPr>
      <w:rPr>
        <w:rFonts w:hint="default"/>
        <w:color w:val="4C4C4C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2" w15:restartNumberingAfterBreak="0">
    <w:nsid w:val="42113657"/>
    <w:multiLevelType w:val="multilevel"/>
    <w:tmpl w:val="C82238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8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440" w:hanging="2160"/>
      </w:pPr>
      <w:rPr>
        <w:rFonts w:hint="default"/>
      </w:rPr>
    </w:lvl>
  </w:abstractNum>
  <w:abstractNum w:abstractNumId="13" w15:restartNumberingAfterBreak="0">
    <w:nsid w:val="42A03578"/>
    <w:multiLevelType w:val="hybridMultilevel"/>
    <w:tmpl w:val="6F104DE6"/>
    <w:lvl w:ilvl="0" w:tplc="D24AF144">
      <w:start w:val="1"/>
      <w:numFmt w:val="decimal"/>
      <w:lvlText w:val="%1)"/>
      <w:lvlJc w:val="left"/>
      <w:pPr>
        <w:ind w:left="11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14" w15:restartNumberingAfterBreak="0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5" w15:restartNumberingAfterBreak="0">
    <w:nsid w:val="4ABC5346"/>
    <w:multiLevelType w:val="hybridMultilevel"/>
    <w:tmpl w:val="DCDED93C"/>
    <w:lvl w:ilvl="0" w:tplc="AA389EA0">
      <w:start w:val="1"/>
      <w:numFmt w:val="decimal"/>
      <w:lvlText w:val="%1."/>
      <w:lvlJc w:val="left"/>
      <w:pPr>
        <w:ind w:left="7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6" w15:restartNumberingAfterBreak="0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7" w15:restartNumberingAfterBreak="0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5AAF2F35"/>
    <w:multiLevelType w:val="hybridMultilevel"/>
    <w:tmpl w:val="D876D25A"/>
    <w:lvl w:ilvl="0" w:tplc="32728E1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0437845"/>
    <w:multiLevelType w:val="hybridMultilevel"/>
    <w:tmpl w:val="72F8F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9F42D1"/>
    <w:multiLevelType w:val="multilevel"/>
    <w:tmpl w:val="8E8C16F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21" w15:restartNumberingAfterBreak="0">
    <w:nsid w:val="7FD5541C"/>
    <w:multiLevelType w:val="multilevel"/>
    <w:tmpl w:val="69C6425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560" w:hanging="84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560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17"/>
  </w:num>
  <w:num w:numId="2">
    <w:abstractNumId w:val="14"/>
  </w:num>
  <w:num w:numId="3">
    <w:abstractNumId w:val="0"/>
  </w:num>
  <w:num w:numId="4">
    <w:abstractNumId w:val="5"/>
  </w:num>
  <w:num w:numId="5">
    <w:abstractNumId w:val="16"/>
  </w:num>
  <w:num w:numId="6">
    <w:abstractNumId w:val="2"/>
  </w:num>
  <w:num w:numId="7">
    <w:abstractNumId w:val="10"/>
  </w:num>
  <w:num w:numId="8">
    <w:abstractNumId w:val="1"/>
  </w:num>
  <w:num w:numId="9">
    <w:abstractNumId w:val="18"/>
  </w:num>
  <w:num w:numId="10">
    <w:abstractNumId w:val="7"/>
  </w:num>
  <w:num w:numId="11">
    <w:abstractNumId w:val="4"/>
  </w:num>
  <w:num w:numId="12">
    <w:abstractNumId w:val="12"/>
  </w:num>
  <w:num w:numId="13">
    <w:abstractNumId w:val="20"/>
  </w:num>
  <w:num w:numId="14">
    <w:abstractNumId w:val="13"/>
  </w:num>
  <w:num w:numId="15">
    <w:abstractNumId w:val="21"/>
  </w:num>
  <w:num w:numId="16">
    <w:abstractNumId w:val="8"/>
  </w:num>
  <w:num w:numId="17">
    <w:abstractNumId w:val="6"/>
  </w:num>
  <w:num w:numId="18">
    <w:abstractNumId w:val="11"/>
  </w:num>
  <w:num w:numId="19">
    <w:abstractNumId w:val="19"/>
  </w:num>
  <w:num w:numId="20">
    <w:abstractNumId w:val="3"/>
  </w:num>
  <w:num w:numId="21">
    <w:abstractNumId w:val="15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FD39B1-CD2A-4ED1-BEBD-960E82B57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20" w:after="120" w:line="276" w:lineRule="auto"/>
      <w:outlineLvl w:val="0"/>
    </w:pPr>
    <w:rPr>
      <w:rFonts w:ascii="XO Thames" w:hAnsi="XO Thames"/>
      <w:b/>
      <w:color w:val="auto"/>
      <w:sz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pPr>
      <w:widowControl/>
      <w:spacing w:before="120" w:after="120" w:line="276" w:lineRule="auto"/>
      <w:outlineLvl w:val="1"/>
    </w:pPr>
    <w:rPr>
      <w:rFonts w:ascii="XO Thames" w:hAnsi="XO Thames"/>
      <w:b/>
      <w:color w:val="00A0FF"/>
      <w:sz w:val="26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pPr>
      <w:widowControl/>
      <w:spacing w:after="200" w:line="276" w:lineRule="auto"/>
      <w:outlineLvl w:val="2"/>
    </w:pPr>
    <w:rPr>
      <w:rFonts w:ascii="XO Thames" w:hAnsi="XO Thames"/>
      <w:b/>
      <w:i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pPr>
      <w:widowControl/>
      <w:spacing w:before="120" w:after="120" w:line="276" w:lineRule="auto"/>
      <w:outlineLvl w:val="3"/>
    </w:pPr>
    <w:rPr>
      <w:rFonts w:ascii="XO Thames" w:hAnsi="XO Thames"/>
      <w:b/>
      <w:color w:val="595959"/>
      <w:sz w:val="26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pPr>
      <w:widowControl/>
      <w:spacing w:before="120" w:after="120" w:line="276" w:lineRule="auto"/>
      <w:outlineLvl w:val="4"/>
    </w:pPr>
    <w:rPr>
      <w:rFonts w:ascii="XO Thames" w:hAnsi="XO Thames"/>
      <w:b/>
      <w:sz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XO Thames" w:eastAsia="Times New Roman" w:hAnsi="XO Thames" w:cs="Times New Roman"/>
      <w:b/>
      <w:sz w:val="32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Pr>
      <w:rFonts w:ascii="XO Thames" w:eastAsia="Times New Roman" w:hAnsi="XO Thames" w:cs="Times New Roman"/>
      <w:b/>
      <w:color w:val="00A0FF"/>
      <w:sz w:val="26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Pr>
      <w:rFonts w:ascii="XO Thames" w:eastAsia="Times New Roman" w:hAnsi="XO Thames" w:cs="Times New Roman"/>
      <w:b/>
      <w:i/>
      <w:color w:val="000000"/>
      <w:sz w:val="20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Pr>
      <w:rFonts w:ascii="XO Thames" w:eastAsia="Times New Roman" w:hAnsi="XO Thames" w:cs="Times New Roman"/>
      <w:b/>
      <w:color w:val="595959"/>
      <w:sz w:val="26"/>
      <w:szCs w:val="20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Pr>
      <w:rFonts w:ascii="XO Thames" w:eastAsia="Times New Roman" w:hAnsi="XO Thames" w:cs="Times New Roman"/>
      <w:b/>
      <w:color w:val="000000"/>
      <w:szCs w:val="20"/>
      <w:lang w:val="x-none" w:eastAsia="x-none"/>
    </w:rPr>
  </w:style>
  <w:style w:type="character" w:customStyle="1" w:styleId="11">
    <w:name w:val="Обычный1"/>
    <w:rPr>
      <w:rFonts w:ascii="Arial" w:hAnsi="Arial"/>
      <w:sz w:val="20"/>
    </w:rPr>
  </w:style>
  <w:style w:type="paragraph" w:styleId="21">
    <w:name w:val="toc 2"/>
    <w:basedOn w:val="a"/>
    <w:next w:val="a"/>
    <w:link w:val="22"/>
    <w:pPr>
      <w:widowControl/>
      <w:spacing w:after="200" w:line="276" w:lineRule="auto"/>
      <w:ind w:left="200"/>
    </w:pPr>
    <w:rPr>
      <w:rFonts w:ascii="Calibri" w:hAnsi="Calibri"/>
      <w:sz w:val="22"/>
    </w:rPr>
  </w:style>
  <w:style w:type="character" w:customStyle="1" w:styleId="22">
    <w:name w:val="Оглавление 2 Знак"/>
    <w:link w:val="21"/>
    <w:locked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1">
    <w:name w:val="toc 4"/>
    <w:basedOn w:val="a"/>
    <w:next w:val="a"/>
    <w:link w:val="42"/>
    <w:pPr>
      <w:widowControl/>
      <w:spacing w:after="200" w:line="276" w:lineRule="auto"/>
      <w:ind w:left="600"/>
    </w:pPr>
    <w:rPr>
      <w:rFonts w:ascii="Calibri" w:hAnsi="Calibri"/>
      <w:sz w:val="22"/>
    </w:rPr>
  </w:style>
  <w:style w:type="character" w:customStyle="1" w:styleId="42">
    <w:name w:val="Оглавление 4 Знак"/>
    <w:link w:val="41"/>
    <w:locked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3">
    <w:name w:val="footer"/>
    <w:basedOn w:val="a"/>
    <w:link w:val="a4"/>
    <w:uiPriority w:val="99"/>
    <w:pPr>
      <w:tabs>
        <w:tab w:val="center" w:pos="4677"/>
        <w:tab w:val="right" w:pos="9355"/>
      </w:tabs>
    </w:pPr>
    <w:rPr>
      <w:color w:val="auto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6">
    <w:name w:val="toc 6"/>
    <w:basedOn w:val="a"/>
    <w:next w:val="a"/>
    <w:link w:val="60"/>
    <w:pPr>
      <w:widowControl/>
      <w:spacing w:after="200" w:line="276" w:lineRule="auto"/>
      <w:ind w:left="1000"/>
    </w:pPr>
    <w:rPr>
      <w:rFonts w:ascii="Calibri" w:hAnsi="Calibri"/>
      <w:sz w:val="22"/>
    </w:rPr>
  </w:style>
  <w:style w:type="character" w:customStyle="1" w:styleId="60">
    <w:name w:val="Оглавление 6 Знак"/>
    <w:link w:val="6"/>
    <w:locked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">
    <w:name w:val="toc 7"/>
    <w:basedOn w:val="a"/>
    <w:next w:val="a"/>
    <w:link w:val="70"/>
    <w:pPr>
      <w:widowControl/>
      <w:spacing w:after="200" w:line="276" w:lineRule="auto"/>
      <w:ind w:left="1200"/>
    </w:pPr>
    <w:rPr>
      <w:rFonts w:ascii="Calibri" w:hAnsi="Calibri"/>
      <w:sz w:val="22"/>
    </w:rPr>
  </w:style>
  <w:style w:type="character" w:customStyle="1" w:styleId="70">
    <w:name w:val="Оглавление 7 Знак"/>
    <w:link w:val="7"/>
    <w:locked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rmal">
    <w:name w:val="ConsPlusNormal"/>
    <w:link w:val="ConsPlusNormal1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2">
    <w:name w:val="Основной шрифт абзаца1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1">
    <w:name w:val="toc 3"/>
    <w:basedOn w:val="a"/>
    <w:next w:val="a"/>
    <w:link w:val="32"/>
    <w:pPr>
      <w:widowControl/>
      <w:spacing w:after="200" w:line="276" w:lineRule="auto"/>
      <w:ind w:left="400"/>
    </w:pPr>
    <w:rPr>
      <w:rFonts w:ascii="Calibri" w:hAnsi="Calibri"/>
      <w:sz w:val="22"/>
    </w:rPr>
  </w:style>
  <w:style w:type="character" w:customStyle="1" w:styleId="32">
    <w:name w:val="Оглавление 3 Знак"/>
    <w:link w:val="31"/>
    <w:locked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3">
    <w:name w:val="Знак сноски1"/>
    <w:basedOn w:val="12"/>
    <w:link w:val="a5"/>
    <w:uiPriority w:val="99"/>
    <w:rPr>
      <w:color w:val="auto"/>
      <w:sz w:val="20"/>
      <w:vertAlign w:val="superscript"/>
      <w:lang w:val="x-none" w:eastAsia="x-none"/>
    </w:rPr>
  </w:style>
  <w:style w:type="character" w:styleId="a5">
    <w:name w:val="footnote reference"/>
    <w:link w:val="13"/>
    <w:uiPriority w:val="99"/>
    <w:rPr>
      <w:rFonts w:ascii="Calibri" w:eastAsia="Times New Roman" w:hAnsi="Calibri" w:cs="Times New Roman"/>
      <w:sz w:val="20"/>
      <w:szCs w:val="20"/>
      <w:vertAlign w:val="superscript"/>
      <w:lang w:val="x-none" w:eastAsia="x-none"/>
    </w:rPr>
  </w:style>
  <w:style w:type="paragraph" w:styleId="a6">
    <w:name w:val="Balloon Text"/>
    <w:basedOn w:val="a"/>
    <w:link w:val="a7"/>
    <w:uiPriority w:val="99"/>
    <w:rPr>
      <w:rFonts w:ascii="Tahoma" w:hAnsi="Tahoma"/>
      <w:color w:val="auto"/>
      <w:sz w:val="16"/>
      <w:lang w:val="x-none" w:eastAsia="x-none"/>
    </w:rPr>
  </w:style>
  <w:style w:type="character" w:customStyle="1" w:styleId="a7">
    <w:name w:val="Текст выноски Знак"/>
    <w:basedOn w:val="a0"/>
    <w:link w:val="a6"/>
    <w:uiPriority w:val="99"/>
    <w:rPr>
      <w:rFonts w:ascii="Tahoma" w:eastAsia="Times New Roman" w:hAnsi="Tahoma" w:cs="Times New Roman"/>
      <w:sz w:val="16"/>
      <w:szCs w:val="20"/>
      <w:lang w:val="x-none" w:eastAsia="x-none"/>
    </w:rPr>
  </w:style>
  <w:style w:type="paragraph" w:styleId="a8">
    <w:name w:val="List Paragraph"/>
    <w:basedOn w:val="a"/>
    <w:link w:val="a9"/>
    <w:uiPriority w:val="34"/>
    <w:qFormat/>
    <w:pPr>
      <w:ind w:left="720"/>
      <w:contextualSpacing/>
    </w:pPr>
    <w:rPr>
      <w:color w:val="auto"/>
      <w:lang w:val="x-none" w:eastAsia="x-none"/>
    </w:rPr>
  </w:style>
  <w:style w:type="character" w:customStyle="1" w:styleId="a9">
    <w:name w:val="Абзац списка Знак"/>
    <w:link w:val="a8"/>
    <w:locked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14">
    <w:name w:val="Гиперссылка1"/>
    <w:basedOn w:val="12"/>
    <w:link w:val="aa"/>
    <w:uiPriority w:val="99"/>
    <w:rPr>
      <w:color w:val="0000FF"/>
      <w:sz w:val="20"/>
      <w:u w:val="single"/>
      <w:lang w:val="x-none" w:eastAsia="x-none"/>
    </w:rPr>
  </w:style>
  <w:style w:type="character" w:styleId="aa">
    <w:name w:val="Hyperlink"/>
    <w:link w:val="14"/>
    <w:uiPriority w:val="99"/>
    <w:rPr>
      <w:rFonts w:ascii="Calibri" w:eastAsia="Times New Roman" w:hAnsi="Calibri" w:cs="Times New Roman"/>
      <w:color w:val="0000FF"/>
      <w:sz w:val="20"/>
      <w:szCs w:val="20"/>
      <w:u w:val="single"/>
      <w:lang w:val="x-none" w:eastAsia="x-none"/>
    </w:rPr>
  </w:style>
  <w:style w:type="paragraph" w:customStyle="1" w:styleId="Footnote">
    <w:name w:val="Footnote"/>
    <w:basedOn w:val="a"/>
    <w:link w:val="Footnote1"/>
    <w:rPr>
      <w:color w:val="auto"/>
      <w:lang w:val="x-none" w:eastAsia="x-none"/>
    </w:rPr>
  </w:style>
  <w:style w:type="character" w:customStyle="1" w:styleId="Footnote1">
    <w:name w:val="Footnote1"/>
    <w:link w:val="Footnote"/>
    <w:locked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15">
    <w:name w:val="toc 1"/>
    <w:basedOn w:val="a"/>
    <w:next w:val="a"/>
    <w:link w:val="16"/>
    <w:pPr>
      <w:widowControl/>
      <w:spacing w:after="200" w:line="276" w:lineRule="auto"/>
    </w:pPr>
    <w:rPr>
      <w:rFonts w:ascii="XO Thames" w:hAnsi="XO Thames"/>
      <w:b/>
      <w:color w:val="auto"/>
      <w:lang w:val="x-none" w:eastAsia="x-none"/>
    </w:rPr>
  </w:style>
  <w:style w:type="character" w:customStyle="1" w:styleId="16">
    <w:name w:val="Оглавление 1 Знак"/>
    <w:link w:val="15"/>
    <w:locked/>
    <w:rPr>
      <w:rFonts w:ascii="XO Thames" w:eastAsia="Times New Roman" w:hAnsi="XO Thames" w:cs="Times New Roman"/>
      <w:b/>
      <w:sz w:val="20"/>
      <w:szCs w:val="20"/>
      <w:lang w:val="x-none" w:eastAsia="x-none"/>
    </w:rPr>
  </w:style>
  <w:style w:type="paragraph" w:customStyle="1" w:styleId="HeaderandFooter">
    <w:name w:val="Header and Footer"/>
    <w:link w:val="HeaderandFooter1"/>
    <w:pPr>
      <w:spacing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Pr>
      <w:rFonts w:ascii="XO Thames" w:eastAsia="Times New Roman" w:hAnsi="XO Thames" w:cs="Calibri"/>
      <w:color w:val="000000"/>
      <w:lang w:eastAsia="ru-RU"/>
    </w:rPr>
  </w:style>
  <w:style w:type="paragraph" w:styleId="9">
    <w:name w:val="toc 9"/>
    <w:basedOn w:val="a"/>
    <w:next w:val="a"/>
    <w:link w:val="90"/>
    <w:pPr>
      <w:widowControl/>
      <w:spacing w:after="200" w:line="276" w:lineRule="auto"/>
      <w:ind w:left="1600"/>
    </w:pPr>
    <w:rPr>
      <w:rFonts w:ascii="Calibri" w:hAnsi="Calibri"/>
      <w:sz w:val="22"/>
    </w:rPr>
  </w:style>
  <w:style w:type="character" w:customStyle="1" w:styleId="90">
    <w:name w:val="Оглавление 9 Знак"/>
    <w:link w:val="9"/>
    <w:locked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">
    <w:name w:val="toc 8"/>
    <w:basedOn w:val="a"/>
    <w:next w:val="a"/>
    <w:link w:val="80"/>
    <w:pPr>
      <w:widowControl/>
      <w:spacing w:after="200" w:line="276" w:lineRule="auto"/>
      <w:ind w:left="1400"/>
    </w:pPr>
    <w:rPr>
      <w:rFonts w:ascii="Calibri" w:hAnsi="Calibri"/>
      <w:sz w:val="22"/>
    </w:rPr>
  </w:style>
  <w:style w:type="character" w:customStyle="1" w:styleId="80">
    <w:name w:val="Оглавление 8 Знак"/>
    <w:link w:val="8"/>
    <w:locked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nformat">
    <w:name w:val="ConsPlusNonformat"/>
    <w:link w:val="ConsPlusNonformat1"/>
    <w:pPr>
      <w:widowControl w:val="0"/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Nonformat1">
    <w:name w:val="ConsPlusNonformat1"/>
    <w:link w:val="ConsPlusNonformat"/>
    <w:locked/>
    <w:rPr>
      <w:rFonts w:ascii="Courier New" w:eastAsia="Times New Roman" w:hAnsi="Courier New" w:cs="Calibri"/>
      <w:color w:val="000000"/>
      <w:lang w:eastAsia="ru-RU"/>
    </w:rPr>
  </w:style>
  <w:style w:type="paragraph" w:styleId="33">
    <w:name w:val="Body Text Indent 3"/>
    <w:basedOn w:val="a"/>
    <w:link w:val="34"/>
    <w:uiPriority w:val="99"/>
    <w:pPr>
      <w:widowControl/>
      <w:ind w:left="1418" w:hanging="1418"/>
      <w:jc w:val="both"/>
    </w:pPr>
    <w:rPr>
      <w:rFonts w:ascii="Times New Roman" w:hAnsi="Times New Roman"/>
      <w:color w:val="auto"/>
      <w:sz w:val="28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uiPriority w:val="9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51">
    <w:name w:val="toc 5"/>
    <w:basedOn w:val="a"/>
    <w:next w:val="a"/>
    <w:link w:val="52"/>
    <w:pPr>
      <w:widowControl/>
      <w:spacing w:after="200" w:line="276" w:lineRule="auto"/>
      <w:ind w:left="800"/>
    </w:pPr>
    <w:rPr>
      <w:rFonts w:ascii="Calibri" w:hAnsi="Calibri"/>
      <w:sz w:val="22"/>
    </w:rPr>
  </w:style>
  <w:style w:type="character" w:customStyle="1" w:styleId="52">
    <w:name w:val="Оглавление 5 Знак"/>
    <w:link w:val="51"/>
    <w:locked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Cell">
    <w:name w:val="ConsPlusCell"/>
    <w:link w:val="ConsPlusCell1"/>
    <w:pPr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Cell1">
    <w:name w:val="ConsPlusCell1"/>
    <w:link w:val="ConsPlusCell"/>
    <w:locked/>
    <w:rPr>
      <w:rFonts w:ascii="Courier New" w:eastAsia="Times New Roman" w:hAnsi="Courier New" w:cs="Calibri"/>
      <w:color w:val="000000"/>
      <w:lang w:eastAsia="ru-RU"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  <w:rPr>
      <w:color w:val="auto"/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d">
    <w:name w:val="Subtitle"/>
    <w:basedOn w:val="a"/>
    <w:next w:val="a"/>
    <w:link w:val="ae"/>
    <w:uiPriority w:val="11"/>
    <w:qFormat/>
    <w:pPr>
      <w:widowControl/>
      <w:spacing w:after="200" w:line="276" w:lineRule="auto"/>
    </w:pPr>
    <w:rPr>
      <w:rFonts w:ascii="XO Thames" w:hAnsi="XO Thames"/>
      <w:i/>
      <w:color w:val="616161"/>
      <w:sz w:val="24"/>
      <w:lang w:val="x-none" w:eastAsia="x-none"/>
    </w:rPr>
  </w:style>
  <w:style w:type="character" w:customStyle="1" w:styleId="ae">
    <w:name w:val="Подзаголовок Знак"/>
    <w:basedOn w:val="a0"/>
    <w:link w:val="ad"/>
    <w:uiPriority w:val="11"/>
    <w:rPr>
      <w:rFonts w:ascii="XO Thames" w:eastAsia="Times New Roman" w:hAnsi="XO Thames" w:cs="Times New Roman"/>
      <w:i/>
      <w:color w:val="616161"/>
      <w:sz w:val="24"/>
      <w:szCs w:val="20"/>
      <w:lang w:val="x-none" w:eastAsia="x-none"/>
    </w:rPr>
  </w:style>
  <w:style w:type="paragraph" w:customStyle="1" w:styleId="toc10">
    <w:name w:val="toc 10"/>
    <w:next w:val="a"/>
    <w:link w:val="toc101"/>
    <w:pPr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f">
    <w:name w:val="Title"/>
    <w:basedOn w:val="a"/>
    <w:next w:val="a"/>
    <w:link w:val="af0"/>
    <w:uiPriority w:val="10"/>
    <w:qFormat/>
    <w:pPr>
      <w:widowControl/>
      <w:spacing w:after="200" w:line="276" w:lineRule="auto"/>
    </w:pPr>
    <w:rPr>
      <w:rFonts w:ascii="XO Thames" w:hAnsi="XO Thames"/>
      <w:b/>
      <w:color w:val="auto"/>
      <w:sz w:val="52"/>
      <w:lang w:val="x-none" w:eastAsia="x-none"/>
    </w:rPr>
  </w:style>
  <w:style w:type="character" w:customStyle="1" w:styleId="af0">
    <w:name w:val="Заголовок Знак"/>
    <w:basedOn w:val="a0"/>
    <w:link w:val="af"/>
    <w:uiPriority w:val="10"/>
    <w:rPr>
      <w:rFonts w:ascii="XO Thames" w:eastAsia="Times New Roman" w:hAnsi="XO Thames" w:cs="Times New Roman"/>
      <w:b/>
      <w:sz w:val="52"/>
      <w:szCs w:val="20"/>
      <w:lang w:val="x-none" w:eastAsia="x-none"/>
    </w:rPr>
  </w:style>
  <w:style w:type="paragraph" w:customStyle="1" w:styleId="ConsPlusTitle">
    <w:name w:val="ConsPlusTitle"/>
    <w:link w:val="ConsPlusTitle1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ConsPlusTitle1">
    <w:name w:val="ConsPlusTitle1"/>
    <w:link w:val="ConsPlusTitle"/>
    <w:locked/>
    <w:rPr>
      <w:rFonts w:ascii="Times New Roman" w:eastAsia="Times New Roman" w:hAnsi="Times New Roman" w:cs="Times New Roman"/>
      <w:b/>
      <w:sz w:val="24"/>
      <w:lang w:eastAsia="ru-RU"/>
    </w:rPr>
  </w:style>
  <w:style w:type="paragraph" w:styleId="af1">
    <w:name w:val="footnote text"/>
    <w:basedOn w:val="a"/>
    <w:link w:val="af2"/>
    <w:semiHidden/>
    <w:pPr>
      <w:widowControl/>
      <w:suppressAutoHyphens/>
    </w:pPr>
    <w:rPr>
      <w:rFonts w:ascii="Times New Roman" w:hAnsi="Times New Roman"/>
      <w:color w:val="auto"/>
      <w:lang w:val="x-none" w:eastAsia="ar-SA"/>
    </w:rPr>
  </w:style>
  <w:style w:type="character" w:customStyle="1" w:styleId="af2">
    <w:name w:val="Текст сноски Знак"/>
    <w:basedOn w:val="a0"/>
    <w:link w:val="af1"/>
    <w:semiHidden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UnresolvedMention">
    <w:name w:val="Unresolved Mention"/>
    <w:uiPriority w:val="99"/>
    <w:semiHidden/>
    <w:unhideWhenUsed/>
    <w:rPr>
      <w:rFonts w:cs="Times New Roman"/>
      <w:color w:val="605E5C"/>
      <w:shd w:val="clear" w:color="auto" w:fill="E1DFDD"/>
    </w:rPr>
  </w:style>
  <w:style w:type="character" w:styleId="af3">
    <w:name w:val="annotation reference"/>
    <w:uiPriority w:val="99"/>
    <w:semiHidden/>
    <w:unhideWhenUsed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Pr>
      <w:color w:val="auto"/>
      <w:lang w:val="x-none" w:eastAsia="x-none"/>
    </w:rPr>
  </w:style>
  <w:style w:type="character" w:customStyle="1" w:styleId="af5">
    <w:name w:val="Текст примечания Знак"/>
    <w:basedOn w:val="a0"/>
    <w:link w:val="af4"/>
    <w:uiPriority w:val="99"/>
    <w:semiHidden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Pr>
      <w:rFonts w:ascii="Arial" w:eastAsia="Times New Roman" w:hAnsi="Arial" w:cs="Times New Roman"/>
      <w:b/>
      <w:bCs/>
      <w:sz w:val="20"/>
      <w:szCs w:val="20"/>
      <w:lang w:val="x-none" w:eastAsia="x-none"/>
    </w:rPr>
  </w:style>
  <w:style w:type="paragraph" w:styleId="HTML">
    <w:name w:val="HTML Preformatted"/>
    <w:basedOn w:val="a"/>
    <w:link w:val="HTML0"/>
    <w:uiPriority w:val="99"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endnote text"/>
    <w:basedOn w:val="a"/>
    <w:link w:val="af9"/>
    <w:semiHidden/>
    <w:pPr>
      <w:widowControl/>
    </w:pPr>
    <w:rPr>
      <w:rFonts w:ascii="Times New Roman" w:hAnsi="Times New Roman"/>
      <w:color w:val="auto"/>
    </w:rPr>
  </w:style>
  <w:style w:type="character" w:customStyle="1" w:styleId="af9">
    <w:name w:val="Текст концевой сноски Знак"/>
    <w:basedOn w:val="a0"/>
    <w:link w:val="af8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1">
    <w:name w:val="s_1"/>
    <w:basedOn w:val="a"/>
    <w:pPr>
      <w:widowControl/>
      <w:ind w:firstLine="720"/>
      <w:jc w:val="both"/>
    </w:pPr>
    <w:rPr>
      <w:rFonts w:cs="Arial"/>
      <w:color w:val="auto"/>
      <w:sz w:val="26"/>
      <w:szCs w:val="26"/>
    </w:rPr>
  </w:style>
  <w:style w:type="paragraph" w:styleId="afa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paragraph" w:styleId="afc">
    <w:name w:val="Body Text Indent"/>
    <w:basedOn w:val="a"/>
    <w:link w:val="afd"/>
    <w:uiPriority w:val="99"/>
    <w:semiHidden/>
    <w:unhideWhenUsed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semiHidden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afe">
    <w:name w:val="Normal (Web)"/>
    <w:basedOn w:val="a"/>
    <w:uiPriority w:val="99"/>
    <w:semiHidden/>
    <w:unhideWhenUsed/>
    <w:pPr>
      <w:widowControl/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paragraph" w:customStyle="1" w:styleId="headertext">
    <w:name w:val="headertext"/>
    <w:basedOn w:val="a"/>
    <w:pPr>
      <w:widowControl/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paragraph" w:customStyle="1" w:styleId="formattext">
    <w:name w:val="formattext"/>
    <w:basedOn w:val="a"/>
    <w:pPr>
      <w:widowControl/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3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0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C3296-FD52-415B-91CE-2914F6406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SASHA</dc:creator>
  <cp:lastModifiedBy>User 10</cp:lastModifiedBy>
  <cp:revision>5</cp:revision>
  <cp:lastPrinted>2026-04-02T07:37:00Z</cp:lastPrinted>
  <dcterms:created xsi:type="dcterms:W3CDTF">2026-04-01T08:18:00Z</dcterms:created>
  <dcterms:modified xsi:type="dcterms:W3CDTF">2026-04-17T10:41:00Z</dcterms:modified>
</cp:coreProperties>
</file>